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3EAA7" w14:textId="77777777" w:rsidR="00FD56E0" w:rsidRDefault="00FD56E0"/>
    <w:p w14:paraId="7BEDBFD0" w14:textId="77777777" w:rsidR="00FD56E0" w:rsidRDefault="00FD56E0"/>
    <w:p w14:paraId="6AE482C6" w14:textId="66A41A63" w:rsidR="00DC7B93" w:rsidRDefault="00FD56E0" w:rsidP="0074507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CC1901" wp14:editId="23E7F177">
            <wp:simplePos x="0" y="0"/>
            <wp:positionH relativeFrom="column">
              <wp:posOffset>-171450</wp:posOffset>
            </wp:positionH>
            <wp:positionV relativeFrom="page">
              <wp:posOffset>590550</wp:posOffset>
            </wp:positionV>
            <wp:extent cx="2085975" cy="794385"/>
            <wp:effectExtent l="0" t="0" r="9525" b="5715"/>
            <wp:wrapTight wrapText="bothSides">
              <wp:wrapPolygon edited="0">
                <wp:start x="0" y="0"/>
                <wp:lineTo x="0" y="21237"/>
                <wp:lineTo x="21501" y="21237"/>
                <wp:lineTo x="2150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CSH_CCES_Duo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794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JCSH Equity Task Group Meeting #</w:t>
      </w:r>
      <w:r w:rsidR="008355A4">
        <w:t>4</w:t>
      </w:r>
    </w:p>
    <w:p w14:paraId="5B79DBA4" w14:textId="24E232C1" w:rsidR="00745075" w:rsidRDefault="008355A4" w:rsidP="00745075">
      <w:pPr>
        <w:jc w:val="center"/>
      </w:pPr>
      <w:r>
        <w:t>March 18</w:t>
      </w:r>
      <w:r w:rsidR="00745075">
        <w:t xml:space="preserve"> 2022</w:t>
      </w:r>
    </w:p>
    <w:p w14:paraId="6CEC0A34" w14:textId="270CEDD4" w:rsidR="00745075" w:rsidRDefault="002708DB" w:rsidP="00745075">
      <w:pPr>
        <w:jc w:val="center"/>
      </w:pPr>
      <w:r>
        <w:t>Takeaway Points</w:t>
      </w:r>
    </w:p>
    <w:p w14:paraId="36504EBF" w14:textId="0B15547E" w:rsidR="00FD56E0" w:rsidRDefault="00664666">
      <w:r>
        <w:t xml:space="preserve">Task Group </w:t>
      </w:r>
      <w:r w:rsidR="009A6069">
        <w:t>m</w:t>
      </w:r>
      <w:r>
        <w:t>embers</w:t>
      </w:r>
      <w:r w:rsidR="009A6069">
        <w:t xml:space="preserve">  in attendance</w:t>
      </w:r>
      <w:r w:rsidR="00FD56E0">
        <w:t xml:space="preserve">: Anna Grumbly (SK), Peggy Orbasli (NL), </w:t>
      </w:r>
      <w:r w:rsidR="009A6069">
        <w:t xml:space="preserve">Erin Cusack, </w:t>
      </w:r>
      <w:r>
        <w:t>Melissa Munro-Bernard</w:t>
      </w:r>
      <w:r w:rsidR="00FD56E0">
        <w:t xml:space="preserve"> (PE), Susan Hornby and Craig Watson (Secretariat)</w:t>
      </w:r>
    </w:p>
    <w:p w14:paraId="41E9D7EB" w14:textId="42E564BA" w:rsidR="00FD56E0" w:rsidRDefault="00FD56E0"/>
    <w:p w14:paraId="012C984A" w14:textId="73F3E420" w:rsidR="00664666" w:rsidRDefault="00664666" w:rsidP="00664666">
      <w:pPr>
        <w:pStyle w:val="ListParagraph"/>
        <w:numPr>
          <w:ilvl w:val="0"/>
          <w:numId w:val="15"/>
        </w:numPr>
      </w:pPr>
      <w:r>
        <w:t>Welcome</w:t>
      </w:r>
      <w:r w:rsidR="002708DB">
        <w:t xml:space="preserve"> </w:t>
      </w:r>
    </w:p>
    <w:p w14:paraId="6E83964F" w14:textId="77777777" w:rsidR="00BD1915" w:rsidRDefault="00BD1915" w:rsidP="00BD1915">
      <w:pPr>
        <w:pStyle w:val="ListParagraph"/>
      </w:pPr>
    </w:p>
    <w:p w14:paraId="3012CFD5" w14:textId="73873BBA" w:rsidR="002708DB" w:rsidRDefault="00432A9B" w:rsidP="009A6069">
      <w:pPr>
        <w:pStyle w:val="ListParagraph"/>
        <w:numPr>
          <w:ilvl w:val="0"/>
          <w:numId w:val="15"/>
        </w:numPr>
      </w:pPr>
      <w:r>
        <w:t>Overview of the year in review.</w:t>
      </w:r>
    </w:p>
    <w:p w14:paraId="61AA7D43" w14:textId="77777777" w:rsidR="009A6069" w:rsidRDefault="00432A9B" w:rsidP="009A6069">
      <w:pPr>
        <w:pStyle w:val="ListParagraph"/>
        <w:numPr>
          <w:ilvl w:val="0"/>
          <w:numId w:val="23"/>
        </w:numPr>
      </w:pPr>
      <w:r>
        <w:t>Review of Peggy’s year-end report.</w:t>
      </w:r>
    </w:p>
    <w:p w14:paraId="0D78746F" w14:textId="77777777" w:rsidR="009A6069" w:rsidRDefault="00432A9B" w:rsidP="009A6069">
      <w:pPr>
        <w:pStyle w:val="ListParagraph"/>
        <w:numPr>
          <w:ilvl w:val="0"/>
          <w:numId w:val="23"/>
        </w:numPr>
      </w:pPr>
      <w:r>
        <w:t>Discussion</w:t>
      </w:r>
      <w:r w:rsidR="009A6069">
        <w:t>:</w:t>
      </w:r>
    </w:p>
    <w:p w14:paraId="7B3C38AD" w14:textId="0F550280" w:rsidR="009A6069" w:rsidRDefault="00432A9B" w:rsidP="009A6069">
      <w:pPr>
        <w:pStyle w:val="ListParagraph"/>
        <w:numPr>
          <w:ilvl w:val="0"/>
          <w:numId w:val="24"/>
        </w:numPr>
      </w:pPr>
      <w:r>
        <w:t>Structural Determinants of Health</w:t>
      </w:r>
      <w:r w:rsidR="009A6069">
        <w:t>:</w:t>
      </w:r>
      <w:r>
        <w:t xml:space="preserve"> they are too b</w:t>
      </w:r>
      <w:r w:rsidR="009A6069">
        <w:t xml:space="preserve">road - </w:t>
      </w:r>
      <w:r>
        <w:t xml:space="preserve">influenced by global factors </w:t>
      </w:r>
      <w:r w:rsidR="009A6069">
        <w:t xml:space="preserve">- </w:t>
      </w:r>
      <w:r>
        <w:t>to be changed by schools, or by JCSH.</w:t>
      </w:r>
    </w:p>
    <w:p w14:paraId="7CCFC732" w14:textId="77777777" w:rsidR="009A6069" w:rsidRDefault="00432A9B" w:rsidP="009A6069">
      <w:pPr>
        <w:pStyle w:val="ListParagraph"/>
        <w:numPr>
          <w:ilvl w:val="0"/>
          <w:numId w:val="24"/>
        </w:numPr>
      </w:pPr>
      <w:r>
        <w:t xml:space="preserve">However, JCSH could consider structural determinants when we support school food, for example. This places JCSH at Intermediary Determinants or Social Determinants </w:t>
      </w:r>
      <w:r w:rsidR="009A6069">
        <w:t xml:space="preserve">level of impact. </w:t>
      </w:r>
    </w:p>
    <w:p w14:paraId="224DBA9A" w14:textId="77777777" w:rsidR="009A6069" w:rsidRDefault="009A6069" w:rsidP="009A6069">
      <w:pPr>
        <w:pStyle w:val="ListParagraph"/>
        <w:numPr>
          <w:ilvl w:val="0"/>
          <w:numId w:val="24"/>
        </w:numPr>
      </w:pPr>
      <w:r>
        <w:t xml:space="preserve">Reframing language to Social Determinants </w:t>
      </w:r>
      <w:r w:rsidR="00432A9B">
        <w:t>of Ineq</w:t>
      </w:r>
      <w:r>
        <w:t>uities may be helpful.</w:t>
      </w:r>
      <w:r w:rsidR="00A82EF7">
        <w:t xml:space="preserve"> </w:t>
      </w:r>
    </w:p>
    <w:p w14:paraId="022431C1" w14:textId="0EBDCC27" w:rsidR="009A6069" w:rsidRDefault="00432A9B" w:rsidP="009A6069">
      <w:pPr>
        <w:pStyle w:val="ListParagraph"/>
        <w:numPr>
          <w:ilvl w:val="0"/>
          <w:numId w:val="25"/>
        </w:numPr>
      </w:pPr>
      <w:r>
        <w:t>Tasks for group: Accomplishments</w:t>
      </w:r>
    </w:p>
    <w:p w14:paraId="73740954" w14:textId="77777777" w:rsidR="009A6069" w:rsidRDefault="00432A9B" w:rsidP="009A6069">
      <w:pPr>
        <w:pStyle w:val="ListParagraph"/>
        <w:numPr>
          <w:ilvl w:val="1"/>
          <w:numId w:val="23"/>
        </w:numPr>
        <w:ind w:left="1440"/>
      </w:pPr>
      <w:r>
        <w:t>Structural Determinants of Health: Overview</w:t>
      </w:r>
    </w:p>
    <w:p w14:paraId="0EF939BF" w14:textId="77777777" w:rsidR="009A6069" w:rsidRDefault="00432A9B" w:rsidP="009A6069">
      <w:pPr>
        <w:pStyle w:val="ListParagraph"/>
        <w:numPr>
          <w:ilvl w:val="1"/>
          <w:numId w:val="23"/>
        </w:numPr>
        <w:ind w:left="1440"/>
      </w:pPr>
      <w:r>
        <w:t>Scan of Structural, Social Determinants of Health, Inequities</w:t>
      </w:r>
    </w:p>
    <w:p w14:paraId="4B4D4A41" w14:textId="492A4A1D" w:rsidR="00432A9B" w:rsidRDefault="009A6069" w:rsidP="009A6069">
      <w:pPr>
        <w:pStyle w:val="ListParagraph"/>
        <w:numPr>
          <w:ilvl w:val="0"/>
          <w:numId w:val="23"/>
        </w:numPr>
      </w:pPr>
      <w:r>
        <w:t xml:space="preserve">Outcome: </w:t>
      </w:r>
      <w:r w:rsidR="00432A9B">
        <w:t xml:space="preserve">TG recommends looking at how to address inequities in schools. </w:t>
      </w:r>
    </w:p>
    <w:p w14:paraId="766A0649" w14:textId="77777777" w:rsidR="00BD1915" w:rsidRDefault="00BD1915" w:rsidP="00BD1915">
      <w:pPr>
        <w:pStyle w:val="ListParagraph"/>
        <w:ind w:left="1080"/>
      </w:pPr>
    </w:p>
    <w:p w14:paraId="3A6F38AF" w14:textId="7B64B4AE" w:rsidR="00432A9B" w:rsidRDefault="00432A9B" w:rsidP="009A6069">
      <w:pPr>
        <w:pStyle w:val="ListParagraph"/>
        <w:numPr>
          <w:ilvl w:val="0"/>
          <w:numId w:val="15"/>
        </w:numPr>
      </w:pPr>
      <w:r>
        <w:t>Recommendations for Equity TG for 2022-2023</w:t>
      </w:r>
    </w:p>
    <w:p w14:paraId="61747251" w14:textId="47118708" w:rsidR="00F92C2E" w:rsidRDefault="00F92C2E" w:rsidP="00F92C2E">
      <w:pPr>
        <w:pStyle w:val="ListParagraph"/>
      </w:pPr>
      <w:r>
        <w:t>(Full recommendations in Peggy’s report: couple of them listed here)</w:t>
      </w:r>
    </w:p>
    <w:p w14:paraId="01D1996C" w14:textId="2DD5EBDE" w:rsidR="00F92C2E" w:rsidRDefault="00F92C2E" w:rsidP="00BD1915">
      <w:pPr>
        <w:pStyle w:val="ListParagraph"/>
        <w:numPr>
          <w:ilvl w:val="1"/>
          <w:numId w:val="27"/>
        </w:numPr>
        <w:ind w:left="1080"/>
      </w:pPr>
      <w:r>
        <w:t>Have representatives of Indigenous governments / communities to join JCSH tables</w:t>
      </w:r>
    </w:p>
    <w:p w14:paraId="46C270C1" w14:textId="77777777" w:rsidR="00F92C2E" w:rsidRDefault="00F92C2E" w:rsidP="00BD1915">
      <w:pPr>
        <w:pStyle w:val="ListParagraph"/>
        <w:numPr>
          <w:ilvl w:val="1"/>
          <w:numId w:val="27"/>
        </w:numPr>
        <w:ind w:left="1080"/>
      </w:pPr>
      <w:r>
        <w:t>Determine if</w:t>
      </w:r>
      <w:r>
        <w:t xml:space="preserve"> JCSH can</w:t>
      </w:r>
      <w:r>
        <w:t xml:space="preserve"> develop a school/student health equity impact assessment tool to support HiAP and align with school development plans.</w:t>
      </w:r>
    </w:p>
    <w:p w14:paraId="24E0A766" w14:textId="5F808D77" w:rsidR="003D01A6" w:rsidRDefault="00274991" w:rsidP="00BD1915">
      <w:pPr>
        <w:pStyle w:val="ListParagraph"/>
        <w:numPr>
          <w:ilvl w:val="0"/>
          <w:numId w:val="28"/>
        </w:numPr>
      </w:pPr>
      <w:r>
        <w:t>Determine if this tool, if created, could be part of new Healthy School Planner</w:t>
      </w:r>
    </w:p>
    <w:p w14:paraId="6672C497" w14:textId="57FDF8EE" w:rsidR="00DD4D82" w:rsidRDefault="00274991" w:rsidP="00BD1915">
      <w:pPr>
        <w:pStyle w:val="ListParagraph"/>
        <w:numPr>
          <w:ilvl w:val="0"/>
          <w:numId w:val="28"/>
        </w:numPr>
      </w:pPr>
      <w:r>
        <w:t>Use of this tool to reflect all topic areas, regardless of what they are – through impact assessment, also fit all ages, priority groups: LGBTQ youth and vaccine uses, for example</w:t>
      </w:r>
    </w:p>
    <w:p w14:paraId="32D5FA9B" w14:textId="44328F23" w:rsidR="00274991" w:rsidRDefault="00274991" w:rsidP="00BD1915">
      <w:pPr>
        <w:pStyle w:val="ListParagraph"/>
        <w:numPr>
          <w:ilvl w:val="0"/>
          <w:numId w:val="28"/>
        </w:numPr>
      </w:pPr>
      <w:r>
        <w:t xml:space="preserve">Example: TDSB equity policy </w:t>
      </w:r>
      <w:r>
        <w:t xml:space="preserve">assessment </w:t>
      </w:r>
      <w:r>
        <w:t xml:space="preserve">tool: </w:t>
      </w:r>
      <w:hyperlink r:id="rId7" w:history="1">
        <w:r>
          <w:rPr>
            <w:rStyle w:val="Hyperlink"/>
          </w:rPr>
          <w:t>Equity Policy Assessment (tdsb.on.ca)</w:t>
        </w:r>
      </w:hyperlink>
      <w:r>
        <w:t xml:space="preserve"> – can work with any population, any initiative</w:t>
      </w:r>
    </w:p>
    <w:p w14:paraId="0E46181C" w14:textId="77777777" w:rsidR="00BD1915" w:rsidRDefault="00BD1915" w:rsidP="00D442E6">
      <w:pPr>
        <w:pStyle w:val="ListParagraph"/>
        <w:numPr>
          <w:ilvl w:val="0"/>
          <w:numId w:val="29"/>
        </w:numPr>
        <w:ind w:left="1080"/>
      </w:pPr>
      <w:r>
        <w:t xml:space="preserve">Discussion from Recommendations: </w:t>
      </w:r>
    </w:p>
    <w:p w14:paraId="029BA978" w14:textId="77777777" w:rsidR="00BD1915" w:rsidRDefault="002B3F5D" w:rsidP="002B3F5D">
      <w:pPr>
        <w:pStyle w:val="ListParagraph"/>
        <w:numPr>
          <w:ilvl w:val="1"/>
          <w:numId w:val="29"/>
        </w:numPr>
        <w:ind w:left="1440"/>
      </w:pPr>
      <w:r>
        <w:t>Schools are not able to address structural determinants of health. But, they are responsible for the impacts: example: impacts of residential schools</w:t>
      </w:r>
    </w:p>
    <w:p w14:paraId="0D4F1AB4" w14:textId="77777777" w:rsidR="00BD1915" w:rsidRDefault="002B3F5D" w:rsidP="002B3F5D">
      <w:pPr>
        <w:pStyle w:val="ListParagraph"/>
        <w:numPr>
          <w:ilvl w:val="1"/>
          <w:numId w:val="29"/>
        </w:numPr>
        <w:ind w:left="1440"/>
      </w:pPr>
      <w:r>
        <w:t xml:space="preserve">At school level, CSH Framework used as a checklist in addressing an address, ensuring it covered from all </w:t>
      </w:r>
      <w:r w:rsidR="00BD1915">
        <w:t xml:space="preserve">conmponent </w:t>
      </w:r>
      <w:r>
        <w:t>areas. Th</w:t>
      </w:r>
      <w:r w:rsidR="00BD1915">
        <w:t>e equity</w:t>
      </w:r>
      <w:r>
        <w:t xml:space="preserve"> impact assessment</w:t>
      </w:r>
      <w:r w:rsidR="00BD1915">
        <w:t xml:space="preserve"> would</w:t>
      </w:r>
      <w:r>
        <w:t xml:space="preserve"> also</w:t>
      </w:r>
      <w:r w:rsidR="00BD1915">
        <w:t xml:space="preserve"> be</w:t>
      </w:r>
      <w:r>
        <w:t xml:space="preserve"> a layer to apply over this. How to address health behaviours/ issues in holistic way</w:t>
      </w:r>
    </w:p>
    <w:p w14:paraId="0F877F01" w14:textId="77777777" w:rsidR="00BD1915" w:rsidRDefault="002B3F5D" w:rsidP="002B3F5D">
      <w:pPr>
        <w:pStyle w:val="ListParagraph"/>
        <w:numPr>
          <w:ilvl w:val="1"/>
          <w:numId w:val="29"/>
        </w:numPr>
        <w:ind w:left="1440"/>
      </w:pPr>
      <w:r>
        <w:lastRenderedPageBreak/>
        <w:t>Develop a template / example as way to use an assessment to advance improvements on issues within schools / districts. Could be embedded in tool as a way this could be applied.</w:t>
      </w:r>
    </w:p>
    <w:p w14:paraId="461397C8" w14:textId="5965129E" w:rsidR="00BD1915" w:rsidRDefault="002B3F5D" w:rsidP="002B3F5D">
      <w:pPr>
        <w:pStyle w:val="ListParagraph"/>
        <w:numPr>
          <w:ilvl w:val="1"/>
          <w:numId w:val="29"/>
        </w:numPr>
        <w:ind w:left="1440"/>
      </w:pPr>
      <w:r>
        <w:t>Would JCSH consider something similar to TDSB equity policy assessment tool</w:t>
      </w:r>
      <w:r w:rsidR="00810423">
        <w:t>?</w:t>
      </w:r>
    </w:p>
    <w:p w14:paraId="1765AAFD" w14:textId="77777777" w:rsidR="00BD1915" w:rsidRDefault="002B3F5D" w:rsidP="002B3F5D">
      <w:pPr>
        <w:pStyle w:val="ListParagraph"/>
        <w:numPr>
          <w:ilvl w:val="1"/>
          <w:numId w:val="29"/>
        </w:numPr>
        <w:ind w:left="1440"/>
      </w:pPr>
      <w:r>
        <w:t>Suggestion someone from TDSB using this to chat with TG</w:t>
      </w:r>
    </w:p>
    <w:p w14:paraId="245ED139" w14:textId="77777777" w:rsidR="00BD1915" w:rsidRDefault="002B3F5D" w:rsidP="002B3F5D">
      <w:pPr>
        <w:pStyle w:val="ListParagraph"/>
        <w:numPr>
          <w:ilvl w:val="1"/>
          <w:numId w:val="29"/>
        </w:numPr>
        <w:ind w:left="1440"/>
      </w:pPr>
      <w:r>
        <w:t>Administrators will not want a new tool in addition to, say the CSH Framework, they are already using to address issues. Important to embed this to what they are already doing.</w:t>
      </w:r>
    </w:p>
    <w:p w14:paraId="11A327DB" w14:textId="5780DE51" w:rsidR="00274991" w:rsidRDefault="002B3F5D" w:rsidP="00776887">
      <w:pPr>
        <w:pStyle w:val="ListParagraph"/>
        <w:numPr>
          <w:ilvl w:val="1"/>
          <w:numId w:val="29"/>
        </w:numPr>
        <w:ind w:left="1440"/>
      </w:pPr>
      <w:r>
        <w:t xml:space="preserve">Important to have MC support this – </w:t>
      </w:r>
      <w:r w:rsidR="0001505F">
        <w:t xml:space="preserve">their support </w:t>
      </w:r>
      <w:r>
        <w:t xml:space="preserve">will assist schools in adopting it. It </w:t>
      </w:r>
      <w:r w:rsidR="0001505F">
        <w:t>must</w:t>
      </w:r>
      <w:r>
        <w:t xml:space="preserve"> meet their need. </w:t>
      </w:r>
    </w:p>
    <w:p w14:paraId="48F1B15A" w14:textId="77777777" w:rsidR="0001505F" w:rsidRDefault="0001505F" w:rsidP="0001505F">
      <w:pPr>
        <w:pStyle w:val="ListParagraph"/>
        <w:ind w:left="1440"/>
      </w:pPr>
    </w:p>
    <w:p w14:paraId="189E6DDE" w14:textId="3492335A" w:rsidR="00BD1915" w:rsidRDefault="00FE1001" w:rsidP="00FE1001">
      <w:pPr>
        <w:pStyle w:val="ListParagraph"/>
        <w:numPr>
          <w:ilvl w:val="0"/>
          <w:numId w:val="15"/>
        </w:numPr>
        <w:rPr>
          <w:rStyle w:val="Hyperlink"/>
          <w:color w:val="auto"/>
          <w:u w:val="none"/>
        </w:rPr>
      </w:pPr>
      <w:r w:rsidRPr="00BD1915">
        <w:rPr>
          <w:rStyle w:val="Hyperlink"/>
          <w:color w:val="auto"/>
          <w:u w:val="none"/>
        </w:rPr>
        <w:t xml:space="preserve">Review of </w:t>
      </w:r>
      <w:r w:rsidR="00BD1915">
        <w:rPr>
          <w:rStyle w:val="Hyperlink"/>
          <w:color w:val="auto"/>
          <w:u w:val="none"/>
        </w:rPr>
        <w:t>Year 1</w:t>
      </w:r>
      <w:r w:rsidRPr="00BD1915">
        <w:rPr>
          <w:rStyle w:val="Hyperlink"/>
          <w:color w:val="auto"/>
          <w:u w:val="none"/>
        </w:rPr>
        <w:t>, considerations</w:t>
      </w:r>
      <w:r w:rsidR="0001505F">
        <w:rPr>
          <w:rStyle w:val="Hyperlink"/>
          <w:color w:val="auto"/>
          <w:u w:val="none"/>
        </w:rPr>
        <w:t xml:space="preserve"> of group members re</w:t>
      </w:r>
      <w:r w:rsidRPr="00BD1915">
        <w:rPr>
          <w:rStyle w:val="Hyperlink"/>
          <w:color w:val="auto"/>
          <w:u w:val="none"/>
        </w:rPr>
        <w:t xml:space="preserve"> next year’s involvement</w:t>
      </w:r>
    </w:p>
    <w:p w14:paraId="4763210D" w14:textId="3887D6F7" w:rsidR="0077479B" w:rsidRDefault="00FE1001" w:rsidP="00BD1915">
      <w:pPr>
        <w:pStyle w:val="ListParagraph"/>
        <w:numPr>
          <w:ilvl w:val="0"/>
          <w:numId w:val="31"/>
        </w:numPr>
      </w:pPr>
      <w:r>
        <w:t xml:space="preserve">Responses: members learned much, </w:t>
      </w:r>
      <w:r w:rsidR="0001505F">
        <w:t xml:space="preserve">task group is </w:t>
      </w:r>
      <w:r>
        <w:t xml:space="preserve">applicable to their work. </w:t>
      </w:r>
      <w:r w:rsidR="00BD1915">
        <w:t>This year, the group d</w:t>
      </w:r>
      <w:r>
        <w:t xml:space="preserve">iscussed big issues, </w:t>
      </w:r>
      <w:r w:rsidR="00BD1915">
        <w:t>gained considerable knowledge</w:t>
      </w:r>
      <w:r>
        <w:t xml:space="preserve"> in short amount of time. Useful to bring jurisdictional work to national level and take that back to jurisdiction. Potential development of assessment tool(s)</w:t>
      </w:r>
      <w:r w:rsidR="0001505F">
        <w:t xml:space="preserve"> is</w:t>
      </w:r>
      <w:r>
        <w:t xml:space="preserve"> of interest</w:t>
      </w:r>
      <w:r w:rsidR="0001505F">
        <w:t xml:space="preserve"> to members</w:t>
      </w:r>
      <w:r>
        <w:t>.</w:t>
      </w:r>
    </w:p>
    <w:p w14:paraId="42BF248B" w14:textId="77777777" w:rsidR="00BD1915" w:rsidRDefault="00BD1915" w:rsidP="00BD1915">
      <w:pPr>
        <w:pStyle w:val="ListParagraph"/>
        <w:ind w:left="1080"/>
      </w:pPr>
    </w:p>
    <w:p w14:paraId="23997168" w14:textId="77777777" w:rsidR="0001505F" w:rsidRDefault="00BD1915" w:rsidP="00BD1915">
      <w:pPr>
        <w:pStyle w:val="ListParagraph"/>
        <w:numPr>
          <w:ilvl w:val="0"/>
          <w:numId w:val="15"/>
        </w:numPr>
      </w:pPr>
      <w:r w:rsidRPr="00BD1915">
        <w:rPr>
          <w:rStyle w:val="Hyperlink"/>
          <w:color w:val="auto"/>
          <w:u w:val="none"/>
        </w:rPr>
        <w:t xml:space="preserve">Next Meeting: </w:t>
      </w:r>
      <w:r w:rsidR="00FE1001">
        <w:t xml:space="preserve">Next Steps:  </w:t>
      </w:r>
    </w:p>
    <w:p w14:paraId="1062CBF6" w14:textId="77777777" w:rsidR="0001505F" w:rsidRDefault="00FE1001" w:rsidP="00FE1001">
      <w:pPr>
        <w:pStyle w:val="ListParagraph"/>
        <w:numPr>
          <w:ilvl w:val="1"/>
          <w:numId w:val="15"/>
        </w:numPr>
        <w:ind w:left="1080"/>
      </w:pPr>
      <w:r>
        <w:t xml:space="preserve">Report to larger </w:t>
      </w:r>
      <w:r w:rsidR="0001505F">
        <w:t xml:space="preserve">JCSH </w:t>
      </w:r>
      <w:r>
        <w:t>tables</w:t>
      </w:r>
      <w:r w:rsidR="0001505F">
        <w:t xml:space="preserve"> (Management Committee, School Health Coordinators’ Committee)</w:t>
      </w:r>
    </w:p>
    <w:p w14:paraId="76862E2B" w14:textId="77777777" w:rsidR="0001505F" w:rsidRDefault="00FE1001" w:rsidP="00FE1001">
      <w:pPr>
        <w:pStyle w:val="ListParagraph"/>
        <w:numPr>
          <w:ilvl w:val="1"/>
          <w:numId w:val="15"/>
        </w:numPr>
        <w:ind w:left="1080"/>
      </w:pPr>
      <w:r>
        <w:t>Invite TDSB representative to discuss the policy impact tool</w:t>
      </w:r>
    </w:p>
    <w:p w14:paraId="370CB0E8" w14:textId="77777777" w:rsidR="0001505F" w:rsidRDefault="0001505F" w:rsidP="00FE1001">
      <w:pPr>
        <w:pStyle w:val="ListParagraph"/>
        <w:numPr>
          <w:ilvl w:val="1"/>
          <w:numId w:val="15"/>
        </w:numPr>
        <w:ind w:left="1080"/>
      </w:pPr>
      <w:r>
        <w:t xml:space="preserve">Conduct a </w:t>
      </w:r>
      <w:r w:rsidR="00FE1001">
        <w:t>Scan of P</w:t>
      </w:r>
      <w:r>
        <w:t>/</w:t>
      </w:r>
      <w:r w:rsidR="00FE1001">
        <w:t xml:space="preserve">Ts using HiAP and Health Equity Impact Assessment, </w:t>
      </w:r>
      <w:r>
        <w:t>as well as</w:t>
      </w:r>
      <w:r w:rsidR="00FE1001">
        <w:t xml:space="preserve"> School Development / Improvement Planning. </w:t>
      </w:r>
      <w:r>
        <w:t>(</w:t>
      </w:r>
      <w:r w:rsidR="00FE1001">
        <w:t>To try to improve uptake on scan request,</w:t>
      </w:r>
      <w:r>
        <w:t xml:space="preserve"> Secretariat will draft template to</w:t>
      </w:r>
      <w:r w:rsidR="00FE1001">
        <w:t xml:space="preserve"> </w:t>
      </w:r>
      <w:r w:rsidR="00E43875">
        <w:t>provide background, use CSH components to assist in scan completion.</w:t>
      </w:r>
      <w:r>
        <w:t>)</w:t>
      </w:r>
    </w:p>
    <w:p w14:paraId="2AE6FF96" w14:textId="09D84DC4" w:rsidR="00FE1001" w:rsidRDefault="0001505F" w:rsidP="0001505F">
      <w:pPr>
        <w:pStyle w:val="ListParagraph"/>
        <w:numPr>
          <w:ilvl w:val="1"/>
          <w:numId w:val="32"/>
        </w:numPr>
      </w:pPr>
      <w:r>
        <w:t>However, for this scan request, process is more straightforward: we are trying to gather data: a) Health side: does your province/territory use a Health in All Policies approach? Are you using Health Equity Impact Assessments?</w:t>
      </w:r>
      <w:r w:rsidR="00E43875">
        <w:t xml:space="preserve"> </w:t>
      </w:r>
      <w:r>
        <w:t>b) Education side: What is your P/T’s school development / improvement plan: link to website, background information, plans, end-of-year reports.</w:t>
      </w:r>
    </w:p>
    <w:p w14:paraId="4A2C20BC" w14:textId="7D409043" w:rsidR="0001505F" w:rsidRDefault="0001505F" w:rsidP="0001505F">
      <w:pPr>
        <w:pStyle w:val="ListParagraph"/>
        <w:numPr>
          <w:ilvl w:val="1"/>
          <w:numId w:val="32"/>
        </w:numPr>
      </w:pPr>
      <w:r>
        <w:t>Once these are back, Susan and Craig will send out doodle poll for next meeting – likely late April.</w:t>
      </w:r>
    </w:p>
    <w:p w14:paraId="30EB56A6" w14:textId="1DEF738A" w:rsidR="0001505F" w:rsidRDefault="0001505F" w:rsidP="0001505F">
      <w:pPr>
        <w:pStyle w:val="ListParagraph"/>
        <w:numPr>
          <w:ilvl w:val="1"/>
          <w:numId w:val="32"/>
        </w:numPr>
      </w:pPr>
      <w:r>
        <w:t>Scan request to be sent to SHCC as well as Melissa and Erin</w:t>
      </w:r>
      <w:r w:rsidR="00806FBA">
        <w:t>. On rethinking this, we will likely send the scan request also to Management Committee: they have asked to be informed of scan requests.</w:t>
      </w:r>
      <w:bookmarkStart w:id="0" w:name="_GoBack"/>
      <w:bookmarkEnd w:id="0"/>
    </w:p>
    <w:p w14:paraId="45A0EF0F" w14:textId="49FFEFA9" w:rsidR="00E43875" w:rsidRDefault="00E43875" w:rsidP="00FE1001"/>
    <w:p w14:paraId="1A0FC116" w14:textId="27ADE3C0" w:rsidR="00FE1001" w:rsidRDefault="00FE1001" w:rsidP="00FE1001"/>
    <w:sectPr w:rsidR="00FE1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D02B3"/>
    <w:multiLevelType w:val="hybridMultilevel"/>
    <w:tmpl w:val="887214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E2D9A"/>
    <w:multiLevelType w:val="hybridMultilevel"/>
    <w:tmpl w:val="616A73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5B68B3"/>
    <w:multiLevelType w:val="hybridMultilevel"/>
    <w:tmpl w:val="C0C24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B31B7"/>
    <w:multiLevelType w:val="hybridMultilevel"/>
    <w:tmpl w:val="CC7C5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1A14649"/>
    <w:multiLevelType w:val="hybridMultilevel"/>
    <w:tmpl w:val="ABBE183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E21D4B"/>
    <w:multiLevelType w:val="hybridMultilevel"/>
    <w:tmpl w:val="8536D4DE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483012"/>
    <w:multiLevelType w:val="hybridMultilevel"/>
    <w:tmpl w:val="D3D8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80702"/>
    <w:multiLevelType w:val="hybridMultilevel"/>
    <w:tmpl w:val="F8F8EB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810E8A"/>
    <w:multiLevelType w:val="hybridMultilevel"/>
    <w:tmpl w:val="073608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30288A"/>
    <w:multiLevelType w:val="hybridMultilevel"/>
    <w:tmpl w:val="95BCDF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05DDF"/>
    <w:multiLevelType w:val="hybridMultilevel"/>
    <w:tmpl w:val="858028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A059E9"/>
    <w:multiLevelType w:val="hybridMultilevel"/>
    <w:tmpl w:val="16DC7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723F8"/>
    <w:multiLevelType w:val="hybridMultilevel"/>
    <w:tmpl w:val="C37E3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713AA9"/>
    <w:multiLevelType w:val="hybridMultilevel"/>
    <w:tmpl w:val="3C76E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946E5"/>
    <w:multiLevelType w:val="hybridMultilevel"/>
    <w:tmpl w:val="1B6A313E"/>
    <w:lvl w:ilvl="0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72F6E3D"/>
    <w:multiLevelType w:val="hybridMultilevel"/>
    <w:tmpl w:val="F476FFC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B117127"/>
    <w:multiLevelType w:val="hybridMultilevel"/>
    <w:tmpl w:val="6BCE4E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BEC2485"/>
    <w:multiLevelType w:val="hybridMultilevel"/>
    <w:tmpl w:val="91BC6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7F3813"/>
    <w:multiLevelType w:val="hybridMultilevel"/>
    <w:tmpl w:val="CA886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1810A1"/>
    <w:multiLevelType w:val="hybridMultilevel"/>
    <w:tmpl w:val="DE04F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E4D7C7F"/>
    <w:multiLevelType w:val="hybridMultilevel"/>
    <w:tmpl w:val="E32E0664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15A7C28"/>
    <w:multiLevelType w:val="hybridMultilevel"/>
    <w:tmpl w:val="CEC030A2"/>
    <w:lvl w:ilvl="0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41250AF"/>
    <w:multiLevelType w:val="hybridMultilevel"/>
    <w:tmpl w:val="FFAAE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A73DD"/>
    <w:multiLevelType w:val="hybridMultilevel"/>
    <w:tmpl w:val="E2E4F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A03433"/>
    <w:multiLevelType w:val="hybridMultilevel"/>
    <w:tmpl w:val="A84CED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0204D6E"/>
    <w:multiLevelType w:val="hybridMultilevel"/>
    <w:tmpl w:val="A13E6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7439B9"/>
    <w:multiLevelType w:val="hybridMultilevel"/>
    <w:tmpl w:val="FF2CE1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B1E52"/>
    <w:multiLevelType w:val="hybridMultilevel"/>
    <w:tmpl w:val="B608C7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FA4ED8"/>
    <w:multiLevelType w:val="hybridMultilevel"/>
    <w:tmpl w:val="D5D00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147962"/>
    <w:multiLevelType w:val="hybridMultilevel"/>
    <w:tmpl w:val="B7002228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C441CDF"/>
    <w:multiLevelType w:val="hybridMultilevel"/>
    <w:tmpl w:val="AF2CA72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F024FEF"/>
    <w:multiLevelType w:val="hybridMultilevel"/>
    <w:tmpl w:val="8BACBB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9"/>
  </w:num>
  <w:num w:numId="4">
    <w:abstractNumId w:val="30"/>
  </w:num>
  <w:num w:numId="5">
    <w:abstractNumId w:val="16"/>
  </w:num>
  <w:num w:numId="6">
    <w:abstractNumId w:val="11"/>
  </w:num>
  <w:num w:numId="7">
    <w:abstractNumId w:val="9"/>
  </w:num>
  <w:num w:numId="8">
    <w:abstractNumId w:val="3"/>
  </w:num>
  <w:num w:numId="9">
    <w:abstractNumId w:val="0"/>
  </w:num>
  <w:num w:numId="10">
    <w:abstractNumId w:val="15"/>
  </w:num>
  <w:num w:numId="11">
    <w:abstractNumId w:val="5"/>
  </w:num>
  <w:num w:numId="12">
    <w:abstractNumId w:val="21"/>
  </w:num>
  <w:num w:numId="13">
    <w:abstractNumId w:val="14"/>
  </w:num>
  <w:num w:numId="14">
    <w:abstractNumId w:val="20"/>
  </w:num>
  <w:num w:numId="15">
    <w:abstractNumId w:val="25"/>
  </w:num>
  <w:num w:numId="16">
    <w:abstractNumId w:val="17"/>
  </w:num>
  <w:num w:numId="17">
    <w:abstractNumId w:val="6"/>
  </w:num>
  <w:num w:numId="18">
    <w:abstractNumId w:val="13"/>
  </w:num>
  <w:num w:numId="19">
    <w:abstractNumId w:val="22"/>
  </w:num>
  <w:num w:numId="20">
    <w:abstractNumId w:val="12"/>
  </w:num>
  <w:num w:numId="21">
    <w:abstractNumId w:val="28"/>
  </w:num>
  <w:num w:numId="22">
    <w:abstractNumId w:val="26"/>
  </w:num>
  <w:num w:numId="23">
    <w:abstractNumId w:val="7"/>
  </w:num>
  <w:num w:numId="24">
    <w:abstractNumId w:val="10"/>
  </w:num>
  <w:num w:numId="25">
    <w:abstractNumId w:val="24"/>
  </w:num>
  <w:num w:numId="26">
    <w:abstractNumId w:val="2"/>
  </w:num>
  <w:num w:numId="27">
    <w:abstractNumId w:val="18"/>
  </w:num>
  <w:num w:numId="28">
    <w:abstractNumId w:val="1"/>
  </w:num>
  <w:num w:numId="29">
    <w:abstractNumId w:val="19"/>
  </w:num>
  <w:num w:numId="30">
    <w:abstractNumId w:val="27"/>
  </w:num>
  <w:num w:numId="31">
    <w:abstractNumId w:val="31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6E0"/>
    <w:rsid w:val="0001505F"/>
    <w:rsid w:val="000E07C8"/>
    <w:rsid w:val="002708DB"/>
    <w:rsid w:val="00274991"/>
    <w:rsid w:val="002B3F5D"/>
    <w:rsid w:val="00306215"/>
    <w:rsid w:val="0036243D"/>
    <w:rsid w:val="003D01A6"/>
    <w:rsid w:val="00432A9B"/>
    <w:rsid w:val="00556525"/>
    <w:rsid w:val="005A3EA8"/>
    <w:rsid w:val="005D202D"/>
    <w:rsid w:val="005E4253"/>
    <w:rsid w:val="00602E3D"/>
    <w:rsid w:val="0066380B"/>
    <w:rsid w:val="00664666"/>
    <w:rsid w:val="007034F8"/>
    <w:rsid w:val="00745075"/>
    <w:rsid w:val="0077479B"/>
    <w:rsid w:val="00806FBA"/>
    <w:rsid w:val="00810423"/>
    <w:rsid w:val="008355A4"/>
    <w:rsid w:val="008532B2"/>
    <w:rsid w:val="009A6069"/>
    <w:rsid w:val="00A82EF7"/>
    <w:rsid w:val="00AC3374"/>
    <w:rsid w:val="00B35AFA"/>
    <w:rsid w:val="00BC4E59"/>
    <w:rsid w:val="00BD1915"/>
    <w:rsid w:val="00C30E26"/>
    <w:rsid w:val="00DD4D82"/>
    <w:rsid w:val="00E43875"/>
    <w:rsid w:val="00EB6D82"/>
    <w:rsid w:val="00EE1116"/>
    <w:rsid w:val="00F74380"/>
    <w:rsid w:val="00F92C2E"/>
    <w:rsid w:val="00FD56E0"/>
    <w:rsid w:val="00FE1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D48DB"/>
  <w15:chartTrackingRefBased/>
  <w15:docId w15:val="{41C356C9-0FB0-4170-B3D5-DC95A7AE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6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652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65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1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tdsb.on.ca/About-Us/Policies-Procedures-Forms/Equity-Policy-Assessmen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CD521-5C24-4CE4-8029-2AC6B789D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ITSS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Hornby</dc:creator>
  <cp:keywords/>
  <dc:description/>
  <cp:lastModifiedBy>Susan Hornby</cp:lastModifiedBy>
  <cp:revision>3</cp:revision>
  <dcterms:created xsi:type="dcterms:W3CDTF">2022-03-30T18:24:00Z</dcterms:created>
  <dcterms:modified xsi:type="dcterms:W3CDTF">2022-03-30T18:31:00Z</dcterms:modified>
</cp:coreProperties>
</file>